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t>]</w:t>
            </w:r>
          </w:p>
          <w:p w:rsidR="00E00AB5" w:rsidRDefault="00E00AB5" w:rsidP="00576263">
            <w:pPr>
              <w:spacing w:after="0"/>
              <w:ind w:firstLine="0"/>
            </w:pPr>
            <w:r>
              <w:t>- Τηλέφωνο: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2725BB">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B937C7" w:rsidRPr="00B937C7">
              <w:rPr>
                <w:rFonts w:asciiTheme="minorHAnsi" w:hAnsiTheme="minorHAnsi"/>
                <w:b/>
                <w:bCs/>
                <w:i/>
                <w:iCs/>
              </w:rPr>
              <w:t xml:space="preserve">Δίκτυο Αποχέτευσης Ακαθάρτων Τμήματος Οικισμού Τ.Κ. </w:t>
            </w:r>
            <w:proofErr w:type="spellStart"/>
            <w:r w:rsidR="00B937C7" w:rsidRPr="00B937C7">
              <w:rPr>
                <w:rFonts w:asciiTheme="minorHAnsi" w:hAnsiTheme="minorHAnsi"/>
                <w:b/>
                <w:bCs/>
                <w:i/>
                <w:iCs/>
              </w:rPr>
              <w:t>Ροδοτοπίου</w:t>
            </w:r>
            <w:proofErr w:type="spellEnd"/>
            <w:r w:rsidR="005520BF" w:rsidRPr="00A61575">
              <w:rPr>
                <w:rFonts w:eastAsia="Calibri"/>
                <w:b/>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6473A0" w:rsidRPr="006473A0">
              <w:rPr>
                <w:rFonts w:eastAsia="Calibri"/>
                <w:b/>
                <w:bCs/>
              </w:rPr>
              <w:t>45232400-6 – Έργα κατασκευής αποχετεύσεων</w:t>
            </w:r>
            <w:r w:rsidRPr="00E35719">
              <w:rPr>
                <w:rFonts w:eastAsia="Calibri"/>
                <w:b/>
              </w:rPr>
              <w:t>]</w:t>
            </w:r>
          </w:p>
          <w:p w:rsidR="006473A0" w:rsidRDefault="006473A0" w:rsidP="006473A0">
            <w:pPr>
              <w:spacing w:after="0"/>
              <w:ind w:firstLine="0"/>
            </w:pPr>
            <w:r w:rsidRPr="00A61575">
              <w:t xml:space="preserve">- Κωδικός </w:t>
            </w:r>
            <w:r>
              <w:t>Προκήρυξης</w:t>
            </w:r>
            <w:r w:rsidRPr="00A61575">
              <w:t xml:space="preserve"> στο ΚΗΜΔΗΣ: [</w:t>
            </w:r>
            <w:r w:rsidR="00E3310B">
              <w:t>20PROC007476548</w:t>
            </w:r>
            <w:r w:rsidRPr="00B05DB3">
              <w:t>]</w:t>
            </w:r>
          </w:p>
          <w:p w:rsidR="006473A0" w:rsidRPr="00A61575" w:rsidRDefault="006473A0" w:rsidP="006473A0">
            <w:pPr>
              <w:spacing w:after="0"/>
              <w:ind w:firstLine="0"/>
            </w:pPr>
            <w:r w:rsidRPr="00A61575">
              <w:t xml:space="preserve">- Κωδικός </w:t>
            </w:r>
            <w:r>
              <w:t xml:space="preserve">Διακήρυξης </w:t>
            </w:r>
            <w:r w:rsidRPr="00A61575">
              <w:t>στο ΚΗΜΔΗΣ: [</w:t>
            </w:r>
            <w:r w:rsidR="001911EC">
              <w:t>20PROC007476697</w:t>
            </w:r>
            <w:r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16D" w:rsidRDefault="00DA716D">
      <w:pPr>
        <w:spacing w:after="0" w:line="240" w:lineRule="auto"/>
      </w:pPr>
      <w:r>
        <w:separator/>
      </w:r>
    </w:p>
  </w:endnote>
  <w:endnote w:type="continuationSeparator" w:id="1">
    <w:p w:rsidR="00DA716D" w:rsidRDefault="00DA716D">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5E22C4">
    <w:pPr>
      <w:pStyle w:val="af0"/>
      <w:shd w:val="clear" w:color="auto" w:fill="FFFFFF"/>
      <w:jc w:val="center"/>
    </w:pPr>
    <w:fldSimple w:instr=" PAGE ">
      <w:r w:rsidR="001911E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16D" w:rsidRDefault="00DA716D">
      <w:pPr>
        <w:spacing w:after="0" w:line="240" w:lineRule="auto"/>
      </w:pPr>
      <w:r>
        <w:separator/>
      </w:r>
    </w:p>
  </w:footnote>
  <w:footnote w:type="continuationSeparator" w:id="1">
    <w:p w:rsidR="00DA716D" w:rsidRDefault="00DA7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4273"/>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6163F"/>
    <w:rsid w:val="0008051F"/>
    <w:rsid w:val="00084CCE"/>
    <w:rsid w:val="00096347"/>
    <w:rsid w:val="000D19FA"/>
    <w:rsid w:val="000E217D"/>
    <w:rsid w:val="00105FE7"/>
    <w:rsid w:val="001364EA"/>
    <w:rsid w:val="001911EC"/>
    <w:rsid w:val="001B3164"/>
    <w:rsid w:val="001C274C"/>
    <w:rsid w:val="001E6916"/>
    <w:rsid w:val="00202FAF"/>
    <w:rsid w:val="002725BB"/>
    <w:rsid w:val="00280674"/>
    <w:rsid w:val="00283710"/>
    <w:rsid w:val="002D138E"/>
    <w:rsid w:val="002F6B21"/>
    <w:rsid w:val="00335746"/>
    <w:rsid w:val="003430FA"/>
    <w:rsid w:val="00385647"/>
    <w:rsid w:val="003A5BD6"/>
    <w:rsid w:val="003B73CD"/>
    <w:rsid w:val="003C07BA"/>
    <w:rsid w:val="003D05A6"/>
    <w:rsid w:val="003D10A7"/>
    <w:rsid w:val="00420CA4"/>
    <w:rsid w:val="0045061D"/>
    <w:rsid w:val="0046009D"/>
    <w:rsid w:val="00464251"/>
    <w:rsid w:val="004834F1"/>
    <w:rsid w:val="004A40BE"/>
    <w:rsid w:val="004C69B7"/>
    <w:rsid w:val="004E59D3"/>
    <w:rsid w:val="00526D34"/>
    <w:rsid w:val="00542334"/>
    <w:rsid w:val="005520BF"/>
    <w:rsid w:val="00560E47"/>
    <w:rsid w:val="00561AE7"/>
    <w:rsid w:val="005761C4"/>
    <w:rsid w:val="00576263"/>
    <w:rsid w:val="005A39FF"/>
    <w:rsid w:val="005D541E"/>
    <w:rsid w:val="005E22C4"/>
    <w:rsid w:val="00613012"/>
    <w:rsid w:val="00623EC5"/>
    <w:rsid w:val="006254C5"/>
    <w:rsid w:val="00635CE9"/>
    <w:rsid w:val="00641268"/>
    <w:rsid w:val="006473A0"/>
    <w:rsid w:val="00675115"/>
    <w:rsid w:val="006E3397"/>
    <w:rsid w:val="006F582E"/>
    <w:rsid w:val="007318B7"/>
    <w:rsid w:val="00735F7F"/>
    <w:rsid w:val="00763833"/>
    <w:rsid w:val="007801A2"/>
    <w:rsid w:val="00782DD2"/>
    <w:rsid w:val="007B63A4"/>
    <w:rsid w:val="007E6F62"/>
    <w:rsid w:val="008434D8"/>
    <w:rsid w:val="00854DF7"/>
    <w:rsid w:val="008A2BE5"/>
    <w:rsid w:val="008B085B"/>
    <w:rsid w:val="008C74F3"/>
    <w:rsid w:val="008E6EEE"/>
    <w:rsid w:val="008F10F9"/>
    <w:rsid w:val="00957A78"/>
    <w:rsid w:val="00967970"/>
    <w:rsid w:val="00970829"/>
    <w:rsid w:val="0099584D"/>
    <w:rsid w:val="009A0E61"/>
    <w:rsid w:val="009D1212"/>
    <w:rsid w:val="009E0BE4"/>
    <w:rsid w:val="00A30811"/>
    <w:rsid w:val="00A32334"/>
    <w:rsid w:val="00A61575"/>
    <w:rsid w:val="00A9395F"/>
    <w:rsid w:val="00A973E8"/>
    <w:rsid w:val="00AA7ED2"/>
    <w:rsid w:val="00B05DB3"/>
    <w:rsid w:val="00B24507"/>
    <w:rsid w:val="00B73C16"/>
    <w:rsid w:val="00B76017"/>
    <w:rsid w:val="00B937C7"/>
    <w:rsid w:val="00B963F2"/>
    <w:rsid w:val="00BC6A52"/>
    <w:rsid w:val="00BC79B0"/>
    <w:rsid w:val="00BE0584"/>
    <w:rsid w:val="00C140FF"/>
    <w:rsid w:val="00C15ED0"/>
    <w:rsid w:val="00C441BF"/>
    <w:rsid w:val="00C86856"/>
    <w:rsid w:val="00CA0924"/>
    <w:rsid w:val="00CD11FD"/>
    <w:rsid w:val="00CE3485"/>
    <w:rsid w:val="00CF2725"/>
    <w:rsid w:val="00D00098"/>
    <w:rsid w:val="00D20331"/>
    <w:rsid w:val="00D4072D"/>
    <w:rsid w:val="00D47DF9"/>
    <w:rsid w:val="00DA6308"/>
    <w:rsid w:val="00DA716D"/>
    <w:rsid w:val="00DC436B"/>
    <w:rsid w:val="00E00AB5"/>
    <w:rsid w:val="00E0185E"/>
    <w:rsid w:val="00E109F9"/>
    <w:rsid w:val="00E3310B"/>
    <w:rsid w:val="00E33F3D"/>
    <w:rsid w:val="00E35719"/>
    <w:rsid w:val="00E41ABD"/>
    <w:rsid w:val="00EB354F"/>
    <w:rsid w:val="00F140F3"/>
    <w:rsid w:val="00F57993"/>
    <w:rsid w:val="00F62DFA"/>
    <w:rsid w:val="00F62F37"/>
    <w:rsid w:val="00F64679"/>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4911</Words>
  <Characters>26525</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3</cp:revision>
  <cp:lastPrinted>2016-10-26T08:40:00Z</cp:lastPrinted>
  <dcterms:created xsi:type="dcterms:W3CDTF">2020-10-14T09:52:00Z</dcterms:created>
  <dcterms:modified xsi:type="dcterms:W3CDTF">2020-10-14T09:57:00Z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